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5434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5434E">
              <w:rPr>
                <w:b/>
                <w:sz w:val="24"/>
                <w:szCs w:val="24"/>
                <w:lang w:val="en-US"/>
              </w:rPr>
              <w:t>211A58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696BF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696BF5">
              <w:rPr>
                <w:b/>
                <w:sz w:val="24"/>
                <w:szCs w:val="24"/>
                <w:lang w:val="en-US"/>
              </w:rPr>
              <w:t>2111785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696BF5" w:rsidRPr="00696BF5">
        <w:rPr>
          <w:b/>
          <w:sz w:val="28"/>
          <w:szCs w:val="28"/>
        </w:rPr>
        <w:t>Пропитка по дереву Акватекс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696BF5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96BF5">
              <w:rPr>
                <w:sz w:val="24"/>
                <w:szCs w:val="24"/>
              </w:rPr>
              <w:t>Пропитка по дереву Акватекс</w:t>
            </w:r>
          </w:p>
        </w:tc>
        <w:tc>
          <w:tcPr>
            <w:tcW w:w="3549" w:type="dxa"/>
            <w:vAlign w:val="center"/>
          </w:tcPr>
          <w:p w:rsidR="00EE0F10" w:rsidRPr="00D86EA3" w:rsidRDefault="00696BF5" w:rsidP="00696BF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96BF5">
              <w:rPr>
                <w:sz w:val="24"/>
                <w:szCs w:val="24"/>
              </w:rPr>
              <w:t xml:space="preserve">ТУ 2389-006-13238275-96 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9B1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9B1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9B12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C77" w:rsidRDefault="00141C77">
      <w:r>
        <w:separator/>
      </w:r>
    </w:p>
  </w:endnote>
  <w:endnote w:type="continuationSeparator" w:id="0">
    <w:p w:rsidR="00141C77" w:rsidRDefault="0014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C77" w:rsidRDefault="00141C77">
      <w:r>
        <w:separator/>
      </w:r>
    </w:p>
  </w:footnote>
  <w:footnote w:type="continuationSeparator" w:id="0">
    <w:p w:rsidR="00141C77" w:rsidRDefault="00141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1C77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29C7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E7E46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8DD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BF5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59EB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34E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2C7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CFB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57162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87268C-F01F-4E43-861E-03E20668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0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56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2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499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50C9C-D17A-41CA-9FCC-EB7A9CF0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2010-09-30T13:29:00Z</cp:lastPrinted>
  <dcterms:created xsi:type="dcterms:W3CDTF">2014-07-10T11:49:00Z</dcterms:created>
  <dcterms:modified xsi:type="dcterms:W3CDTF">2014-07-11T10:03:00Z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